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2012/54 vom 6. Mai 2013</w:t>
      </w:r>
    </w:p>
    <w:p>
      <w:r>
        <w:t>Sg Versicherungsgericht, 2013-05-06, DE</w:t>
      </w:r>
    </w:p>
    <w:p>
      <w:r>
        <w:rPr>
          <w:b/>
        </w:rPr>
        <w:t xml:space="preserve">Quelle: </w:t>
      </w:r>
      <w:r>
        <w:t>https://mcp.opencaselaw.ch/entscheid/sg_publikationen_UV 2012_54</w:t>
      </w:r>
    </w:p>
    <w:p>
      <w:r>
        <w:t>FR: SG_VERSICHERUNGSGERICHT UV 2012/54 du 6 mai 2013</w:t>
      </w:r>
    </w:p>
    <w:p>
      <w:r>
        <w:t>IT: SG_VERSICHERUNGSGERICHT UV 2012/54 del 6 maggio 2013</w:t>
      </w:r>
    </w:p>
    <w:p>
      <w:pPr>
        <w:pStyle w:val="Heading2"/>
      </w:pPr>
      <w:r>
        <w:t>Regeste</w:t>
      </w:r>
    </w:p>
    <w:p>
      <w:r>
        <w:t>Art. 24 UVG. Festlegung der Integritätseinbusse für eine Schädigung des Ellbogens (Entscheid des Versicherungsgerichts des Kantons St. Gallen vom 6. Mai 2013, UV 2012/54).</w:t>
      </w:r>
    </w:p>
    <w:p>
      <w:pPr>
        <w:pStyle w:val="Heading2"/>
      </w:pPr>
      <w:r>
        <w:t>Erwägungen</w:t>
      </w:r>
    </w:p>
    <w:p>
      <w:r>
        <w:rPr>
          <w:b/>
        </w:rPr>
        <w:t>E. 1</w:t>
      </w:r>
    </w:p>
    <w:p>
      <w:r>
        <w:t>Streitig ist, ob dem Beschwerdeführer als Folge des Ereignisses vom 11. März 2009 eine Integritätsentschädigung auf der Basis einer Integritätseinbusse von mehr als 7% auszurichten ist. Hinsichtlich der Verneinung des Rentenanspruchs erwuchs die Verfügung vom 6. März 2012 unangefochten in Rechtskraft. Soweit der Beschwerdeführer in diesem Verfahren eine Berufsunfähigkeit (vgl. act. G 1 und 10) geltend machen lässt und damit implizit eine Berentung anspricht, kann darauf nicht eingetreten werden. Die Beschwerdegegnerin legte im angefochtenen Einspracheentscheid (E. 2) die rechtlichen Voraussetzungen des Vorliegens eines natürlichen und adäquaten Unfallkausalzusammenhangs und der Bemessung von Integritätsentschädigungen zutreffend dar; darauf ist zu verweisen.</w:t>
      </w:r>
    </w:p>
    <w:p>
      <w:r>
        <w:rPr>
          <w:b/>
        </w:rPr>
        <w:t>E. 2.1</w:t>
      </w:r>
    </w:p>
    <w:p>
      <w:r>
        <w:t>Am 9. September 2009 erklärte der Beschwerdeführer dem Suva-Mitarbeiter unter anderem, er sei Präsident eines Schützenvereins. In der Woche komme es zweimal vor, dass er verschiedene Arbeiten von zu Hause aus erledigen müsse. Er schiesse natürlich auch. Dies sei seit dem Unfall nicht möglich (UV-act. 15 S. 2). Im unfallchirurgischen Gutachten vom 25. Juni 2010 kam Dr. F.___ zum Schluss, für einen nicht versorgten peripheren Bizepssehnenriss sowie für Streckdefizite bis 0/30 Grad seien 10% Armwertminderung vorgesehen (Hinweis auf einschlägige medizinische Literatur). Die Bizepssehne sei genäht worden und funktioniere nicht ideal, aber sie funktioniere. Am Ellbogen bestehe ein Streckdefizit von 0/10 Grad. Er schätze deshalb die Armwertminderung auf 12%. Für den Ausfall des Hautastes des Speichennervs seien "eventuell 5% Armwertminderung" vorgesehen (Hinweis auf medizinische Literatur). Er schätze die Armwertminderung mit 3% ein, da der Nerv nicht komplett ausgefallen sei. Aufgrund der Befunde bestehe unter Berücksichtigung der Gliedertaxe der AUVB eine Minderung der Gebrauchsfähigkeit des rechten Ellbogens von 15% vom Wert eines Armes. Dies ergebe eine Invalidität von 10.5% (UV-act. 91 Beilage).</w:t>
      </w:r>
    </w:p>
    <w:p>
      <w:r>
        <w:rPr>
          <w:b/>
        </w:rPr>
        <w:t>E. 2.2</w:t>
      </w:r>
    </w:p>
    <w:p>
      <w:r>
        <w:t>Dr. G.___, Facharzt FMH für Neurologie und für Psychiatrie/Psychotherapie, diagnostizierte im Untersuchungsbericht vom 6. Dezember 2011 eine traumatische Läsion des N. radialis rechts. Es bestünden weiterhin neuralgieforme Schmerzen im Versorgungsbereich des N. radialis rechts. Es lägen keine sicheren Paresen und eine leichte Besserung des elektrophysiologischen Befundes vor. Leichte Tätigkeiten ohne Krafteinsatz der rechten Hand und des Armes seien vollschichtig möglich, z.B. eine Bürotätigkeit. Aufgrund der Unfallfolgen sei der Beschwerdeführer bei Tätigkeiten mit Krafteinsatz der rechten Hand aufgrund induzierbarer, bewegungsabhängiger Schmerzen deutlich eingeschränkt (UV-act. 75). Die IV bestätigte am 7. Dezember 2011, dass es dem Beschwerdeführer bei Verwertung der erworbenen beruflichen Kenntnisse (technischer Kaufmann) zumutbar sei, ein rentenausschliessendes Erwerbseinkommen zu erzielen (IV-act. 76). Die ärztliche Abschlussuntersuchung durch Suva-Arzt Dr. E.___ ergab gemäss Bericht vom 20. Januar 2012 die Diagnose eines distalen Bizepssehnenabrisses rechts mit verbliebener Belastungs- und diskreter Bewegungseinschränkung sowie Nervus radialis Hyposensibilität peripher ohne motorische Einschränkung neurologisch. Die subjektiven Angaben würden mit den objektiven Befunden korrelieren, wobei die Kraftentfaltung sowohl bei gezielter Faustschlusskraftmessung als auch beim Griff zum Heben des 5 kg schweren Backsteins gut gelinge und vor allem ab 20 Grad die endphasische, relativ elastische Streckhemmung Beschwerden verursache. Es seien keine weiteren medizinischen Massnahmen vorhanden, die zu einer wesentlichen Verbesserung des Zustands führen würden. Das Rückfallmelderecht bleibe gewahrt. Die Zumutbarkeit sei eingeschränkt für repetitive, vor allem belastende Umwendbewegungen, aber auch für Aussetzen an Vibrationen und hämmernde Einflüsse. Vollschichtige Tätigkeiten bis mittelschwer seien zumutbar (UV-act. 84). Den unfallbedingten Integritätsschaden schätzte der Arzt gleichentags auf 7% (UV-act. 85).</w:t>
      </w:r>
    </w:p>
    <w:p>
      <w:r>
        <w:rPr>
          <w:b/>
        </w:rPr>
        <w:t>E. 3.1</w:t>
      </w:r>
    </w:p>
    <w:p>
      <w:r>
        <w:t>Zum unfallchirurgischen Gutachten von Dr. F.___ vom 25. Juni 2010 ist vorab festzuhalten, dass es sich nicht mit der Frage des Integritätsschadens nach schweizerischen Recht befasst, sondern gestützt auf eine Gliedertaxe eine Invalidität von 10.5% festlegt. Letzteres bildet wie erwähnt (E. 1) nicht Thema des vorliegenden Verfahrens. Im Weiteren erscheint das Gutachten Dr. F.___ insofern nicht mehr aktuell, als konkret der objektive medizinische Endzustand im Zeitpunkt der Prüfung des Integritätsschadens (Januar 2012; UV-act. 84f) zu klären ist. Die Schwere des Integritätsschadens wird nach dem medizinischen Befund beurteilt.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Im Gegensatz zur Bemessung der Genugtuungssumme im Zivilrecht lassen sich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(Urteil des Bundesgerichts vom 2. Mai 2011, 8C_812/2010, E. 6.2 mit Hinweis auf BGE 133 V 224 E. 5.1 und 115 V 147 E. 1).</w:t>
      </w:r>
    </w:p>
    <w:p>
      <w:r>
        <w:rPr>
          <w:b/>
        </w:rPr>
        <w:t>E. 3.2</w:t>
      </w:r>
    </w:p>
    <w:p>
      <w:r>
        <w:t>Ausgehend von Suva-Tabelle 1 berücksichtigte Dr. E.___ analogieweise, dass eine Ellbogenbeweglichkeit von 0-90-135 Grad 10% Integritätsschaden ergäbe. Beim Beschwerdeführer sei die Beweglichkeit 0-20-135 Grad. Bei freier Supination und Pronation, welche jedoch bei repetitiven Manövern beschwerdehaft sei, und bei eingeschränkter Kraft, welche trotzdem M5 sei, seien 5% geschuldet und gerechtfertigt. Hinzu komme die Gefühlsstörung, welche isoliert keine Integritätsentschädigung begründen würde, aber mit einem Zuschlag von 2% berücksichtigt werde (UV-act. 85). Anhaltspunkte für eine Unrichtigkeit dieser Einschätzung bzw. eine auf falschen Grundlagen beruhende Ermessensausübung lassen sich den Akten nicht entnehmen. Die von Dr. F.___ im Juni 2010 mit 0/10/135° festgestellte Ellbogenbeweglichkeit rechts (UV-act. 91 Beilage S. 8) gibt nicht den Zustand im Januar 2012 wieder und weicht im Übrigen nur geringfügig von den von Dr. E.___ mit 0/20/135° angegebenen Werten ab. Für den von ihm geäusserten Verdacht, dass die Diagnose der Sachverständigen unrichtig bzw. unvollständig sei und objektive Tatsachen ausser Acht gelassen worden seien (act. G 10 S. 2), vermag der Beschwerdeführer keine konkreten Indizien bzw. ärztliche Berichte, welche solche Tatsachen bestätigen würden, zu liefern. Wenn er einwenden lässt, dass gerade repetitive Manöver zu Beschwerden führen würden (act. G 1), so ist darauf hinzuweisen, dass dies explizit auch von Dr. E.___ so berücksichtigt worden war (UV-act. 85). Gegenüber diesem Arzt hatte der Beschwerdeführer anlässlich der Untersuchung vom 20. Januar 2012 angegeben, die Gefühlsstörungen im Vorderarm seien leicht besser geworden. Im Weiteren gab er eine gewisse Krafteinschränkung und Schmerzen im Bereich des Ellbogens an und bestätigte, dass er seine Freizeittätigkeit als Schütze habe umstellen müsse und jetzt eine Pistole mit links hantiere. Sodann erwähnte er, dass er ein Auto mit automatischem Getriebe angeschafft habe, da ihm die Schaltvorgänge Mühe bereiten würden (UV-act. 84 S. 2). Diese bereits anlässlich der Untersuchung durch Dr. E.___ vorgebrachten Umstände lässt der Beschwerdeführer im vorliegenden Verfahren wiederholen und neu geltend machen, dass sich der Zustand seit der Untersuchung durch Dr. G.___ im Dezember 2011 - dieser vermerkte unter anderem eine leichte Besserung des elektrophysiologischen Befundes und des Taubheitsgefühls (UV-act. 75 S. 2 und 3) -  massiv verschlechtert habe (act. G 1). Dies, nachdem noch in der Einsprache vom 5. April 2012 von einer Verschlechterung nicht die Rede war (UV-act. 91). Hierzu ist festzuhalten, dass vorliegend die tatsächlichen Verhältnisse bis zum Datum des angefochtenen Entscheids (24. April 2012) zu prüfen sind. Konkrete Anhaltspunkte dafür, dass sich die medizinischen Verhältnisse im rechten Ellbogen in der Zeit von Januar bis April 2012 verschlechtert hätten, lassen sich den Akten nicht entnehmen. Jedenfalls fehlt es an ärztlichen Berichten, die solches bestätigen würden. Im Übrigen ist festzuhalten, dass die Integritätsentschädigung bei nicht voraussehbarer nachträglicher Verschlimmerung einer Revision bzw. einer nachträglichen Erhöhung zugänglich ist (SZS 1988, 274).</w:t>
      </w:r>
    </w:p>
    <w:p>
      <w:r>
        <w:rPr>
          <w:b/>
        </w:rPr>
        <w:t>E. 4</w:t>
      </w:r>
    </w:p>
    <w:p>
      <w:r>
        <w:t>Im Sinn der vorstehenden Erwägungen ist die Beschwerde unter Bestätigung des Einspracheentscheids vom 24. April 2012 abzuweisen, soweit darauf einzutreten ist. Gerichtskosten sind keine zu erheben (Art. 61 lit. a ATSG). Demgemäss hat das Versicherungsgericht im Zirkulationsverfahren gemäss Art. 39 VRP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